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r>
        <mc:AlternateContent>
          <mc:Choice Requires="wpg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3050553</wp:posOffset>
                </wp:positionH>
                <wp:positionV relativeFrom="page">
                  <wp:posOffset>222279</wp:posOffset>
                </wp:positionV>
                <wp:extent cx="1458951" cy="638592"/>
                <wp:effectExtent l="0" t="0" r="0" b="0"/>
                <wp:wrapNone/>
                <wp:docPr id="1073741827" name="officeArt object" descr="Raggrupp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8951" cy="638592"/>
                          <a:chOff x="0" y="46831"/>
                          <a:chExt cx="1458950" cy="638591"/>
                        </a:xfrm>
                      </wpg:grpSpPr>
                      <pic:pic xmlns:pic="http://schemas.openxmlformats.org/drawingml/2006/picture">
                        <pic:nvPicPr>
                          <pic:cNvPr id="1073741825" name="Immagine" descr="Immagine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rcRect l="12009" t="7036" r="12010" b="30528"/>
                          <a:stretch>
                            <a:fillRect/>
                          </a:stretch>
                        </pic:blipFill>
                        <pic:spPr>
                          <a:xfrm>
                            <a:off x="207136" y="46831"/>
                            <a:ext cx="1044576" cy="4155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0833" y="0"/>
                                </a:moveTo>
                                <a:lnTo>
                                  <a:pt x="8026" y="2393"/>
                                </a:lnTo>
                                <a:lnTo>
                                  <a:pt x="5211" y="4766"/>
                                </a:lnTo>
                                <a:lnTo>
                                  <a:pt x="5277" y="5529"/>
                                </a:lnTo>
                                <a:cubicBezTo>
                                  <a:pt x="5428" y="7230"/>
                                  <a:pt x="5416" y="7284"/>
                                  <a:pt x="4867" y="7365"/>
                                </a:cubicBezTo>
                                <a:cubicBezTo>
                                  <a:pt x="4418" y="7431"/>
                                  <a:pt x="4311" y="7333"/>
                                  <a:pt x="3898" y="6540"/>
                                </a:cubicBezTo>
                                <a:lnTo>
                                  <a:pt x="3430" y="5653"/>
                                </a:lnTo>
                                <a:lnTo>
                                  <a:pt x="1715" y="5653"/>
                                </a:lnTo>
                                <a:lnTo>
                                  <a:pt x="0" y="5653"/>
                                </a:lnTo>
                                <a:lnTo>
                                  <a:pt x="0" y="13059"/>
                                </a:lnTo>
                                <a:cubicBezTo>
                                  <a:pt x="0" y="20267"/>
                                  <a:pt x="10" y="20481"/>
                                  <a:pt x="205" y="20610"/>
                                </a:cubicBezTo>
                                <a:cubicBezTo>
                                  <a:pt x="316" y="20682"/>
                                  <a:pt x="402" y="20935"/>
                                  <a:pt x="402" y="21167"/>
                                </a:cubicBezTo>
                                <a:cubicBezTo>
                                  <a:pt x="402" y="21552"/>
                                  <a:pt x="579" y="21585"/>
                                  <a:pt x="2437" y="21435"/>
                                </a:cubicBezTo>
                                <a:cubicBezTo>
                                  <a:pt x="5110" y="21219"/>
                                  <a:pt x="17540" y="21219"/>
                                  <a:pt x="19819" y="21435"/>
                                </a:cubicBezTo>
                                <a:lnTo>
                                  <a:pt x="21600" y="21600"/>
                                </a:lnTo>
                                <a:lnTo>
                                  <a:pt x="21600" y="14132"/>
                                </a:lnTo>
                                <a:cubicBezTo>
                                  <a:pt x="21600" y="7465"/>
                                  <a:pt x="21579" y="6664"/>
                                  <a:pt x="21436" y="6664"/>
                                </a:cubicBezTo>
                                <a:cubicBezTo>
                                  <a:pt x="21348" y="6664"/>
                                  <a:pt x="21251" y="6426"/>
                                  <a:pt x="21222" y="6148"/>
                                </a:cubicBezTo>
                                <a:cubicBezTo>
                                  <a:pt x="21173" y="5672"/>
                                  <a:pt x="21093" y="5653"/>
                                  <a:pt x="19721" y="5653"/>
                                </a:cubicBezTo>
                                <a:lnTo>
                                  <a:pt x="18260" y="5653"/>
                                </a:lnTo>
                                <a:lnTo>
                                  <a:pt x="17776" y="6540"/>
                                </a:lnTo>
                                <a:cubicBezTo>
                                  <a:pt x="17190" y="7621"/>
                                  <a:pt x="16814" y="7659"/>
                                  <a:pt x="16857" y="6622"/>
                                </a:cubicBezTo>
                                <a:cubicBezTo>
                                  <a:pt x="16876" y="6136"/>
                                  <a:pt x="16825" y="5915"/>
                                  <a:pt x="16676" y="5818"/>
                                </a:cubicBezTo>
                                <a:cubicBezTo>
                                  <a:pt x="16564" y="5744"/>
                                  <a:pt x="16479" y="5513"/>
                                  <a:pt x="16479" y="5302"/>
                                </a:cubicBezTo>
                                <a:cubicBezTo>
                                  <a:pt x="16479" y="4867"/>
                                  <a:pt x="16382" y="4777"/>
                                  <a:pt x="13131" y="1981"/>
                                </a:cubicBezTo>
                                <a:lnTo>
                                  <a:pt x="10833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6" name="Les Musées Vivant"/>
                        <wps:cNvSpPr txBox="1"/>
                        <wps:spPr>
                          <a:xfrm>
                            <a:off x="0" y="407271"/>
                            <a:ext cx="1458951" cy="27815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outline w:val="0"/>
                                  <w:color w:val="b3b4b3"/>
                                  <w:rtl w:val="0"/>
                                  <w:lang w:val="it-IT"/>
                                  <w14:shadow w14:sx="100000" w14:sy="100000" w14:kx="0" w14:ky="0" w14:algn="tl" w14:blurRad="25400" w14:dist="19050" w14:dir="2700000">
                                    <w14:srgbClr w14:val="000000">
                                      <w14:alpha w14:val="0"/>
                                    </w14:srgbClr>
                                  </w14:shadow>
                                  <w14:textFill>
                                    <w14:solidFill>
                                      <w14:srgbClr w14:val="B4B4B4"/>
                                    </w14:solidFill>
                                  </w14:textFill>
                                </w:rPr>
                                <w:t>Les Mus</w:t>
                              </w:r>
                              <w:r>
                                <w:rPr>
                                  <w:rFonts w:ascii="Times New Roman" w:hAnsi="Times New Roman" w:hint="default"/>
                                  <w:outline w:val="0"/>
                                  <w:color w:val="b3b4b3"/>
                                  <w:rtl w:val="0"/>
                                  <w:lang w:val="it-IT"/>
                                  <w14:shadow w14:sx="100000" w14:sy="100000" w14:kx="0" w14:ky="0" w14:algn="tl" w14:blurRad="25400" w14:dist="19050" w14:dir="2700000">
                                    <w14:srgbClr w14:val="000000">
                                      <w14:alpha w14:val="0"/>
                                    </w14:srgbClr>
                                  </w14:shadow>
                                  <w14:textFill>
                                    <w14:solidFill>
                                      <w14:srgbClr w14:val="B4B4B4"/>
                                    </w14:solidFill>
                                  </w14:textFill>
                                </w:rPr>
                                <w:t>é</w:t>
                              </w:r>
                              <w:r>
                                <w:rPr>
                                  <w:rFonts w:ascii="Times New Roman" w:hAnsi="Times New Roman"/>
                                  <w:outline w:val="0"/>
                                  <w:color w:val="b3b4b3"/>
                                  <w:rtl w:val="0"/>
                                  <w:lang w:val="it-IT"/>
                                  <w14:shadow w14:sx="100000" w14:sy="100000" w14:kx="0" w14:ky="0" w14:algn="tl" w14:blurRad="25400" w14:dist="19050" w14:dir="2700000">
                                    <w14:srgbClr w14:val="000000">
                                      <w14:alpha w14:val="0"/>
                                    </w14:srgbClr>
                                  </w14:shadow>
                                  <w14:textFill>
                                    <w14:solidFill>
                                      <w14:srgbClr w14:val="B4B4B4"/>
                                    </w14:solidFill>
                                  </w14:textFill>
                                </w:rPr>
                                <w:t>es Vivant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40.2pt;margin-top:17.5pt;width:114.9pt;height:5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46831" coordsize="1458950,638592">
                <w10:wrap type="none" side="bothSides" anchorx="page" anchory="page"/>
                <v:shape id="_x0000_s1027" type="#_x0000_t75" style="position:absolute;left:207136;top:46831;width:1044575;height:415528;">
                  <v:imagedata r:id="rId4" o:title="logo-testo-10.png" cropleft="12.0%" cropright="12.0%" croptop="7.0%" cropbottom="30.5%"/>
                </v:shape>
                <v:shape id="_x0000_s1028" type="#_x0000_t202" style="position:absolute;left:0;top:407271;width:1458950;height:278151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o"/>
                          <w:jc w:val="center"/>
                        </w:pPr>
                        <w:r>
                          <w:rPr>
                            <w:rFonts w:ascii="Times New Roman" w:hAnsi="Times New Roman"/>
                            <w:outline w:val="0"/>
                            <w:color w:val="b3b4b3"/>
                            <w:rtl w:val="0"/>
                            <w:lang w:val="it-IT"/>
                            <w14:shadow w14:sx="100000" w14:sy="100000" w14:kx="0" w14:ky="0" w14:algn="tl" w14:blurRad="25400" w14:dist="19050" w14:dir="2700000">
                              <w14:srgbClr w14:val="000000">
                                <w14:alpha w14:val="0"/>
                              </w14:srgbClr>
                            </w14:shadow>
                            <w14:textFill>
                              <w14:solidFill>
                                <w14:srgbClr w14:val="B4B4B4"/>
                              </w14:solidFill>
                            </w14:textFill>
                          </w:rPr>
                          <w:t>Les Mus</w:t>
                        </w:r>
                        <w:r>
                          <w:rPr>
                            <w:rFonts w:ascii="Times New Roman" w:hAnsi="Times New Roman" w:hint="default"/>
                            <w:outline w:val="0"/>
                            <w:color w:val="b3b4b3"/>
                            <w:rtl w:val="0"/>
                            <w:lang w:val="it-IT"/>
                            <w14:shadow w14:sx="100000" w14:sy="100000" w14:kx="0" w14:ky="0" w14:algn="tl" w14:blurRad="25400" w14:dist="19050" w14:dir="2700000">
                              <w14:srgbClr w14:val="000000">
                                <w14:alpha w14:val="0"/>
                              </w14:srgbClr>
                            </w14:shadow>
                            <w14:textFill>
                              <w14:solidFill>
                                <w14:srgbClr w14:val="B4B4B4"/>
                              </w14:solidFill>
                            </w14:textFill>
                          </w:rPr>
                          <w:t>é</w:t>
                        </w:r>
                        <w:r>
                          <w:rPr>
                            <w:rFonts w:ascii="Times New Roman" w:hAnsi="Times New Roman"/>
                            <w:outline w:val="0"/>
                            <w:color w:val="b3b4b3"/>
                            <w:rtl w:val="0"/>
                            <w:lang w:val="it-IT"/>
                            <w14:shadow w14:sx="100000" w14:sy="100000" w14:kx="0" w14:ky="0" w14:algn="tl" w14:blurRad="25400" w14:dist="19050" w14:dir="2700000">
                              <w14:srgbClr w14:val="000000">
                                <w14:alpha w14:val="0"/>
                              </w14:srgbClr>
                            </w14:shadow>
                            <w14:textFill>
                              <w14:solidFill>
                                <w14:srgbClr w14:val="B4B4B4"/>
                              </w14:solidFill>
                            </w14:textFill>
                          </w:rPr>
                          <w:t>es Vivant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766246</wp:posOffset>
                </wp:positionH>
                <wp:positionV relativeFrom="page">
                  <wp:posOffset>899275</wp:posOffset>
                </wp:positionV>
                <wp:extent cx="6027564" cy="8893453"/>
                <wp:effectExtent l="0" t="0" r="0" b="0"/>
                <wp:wrapNone/>
                <wp:docPr id="1073741828" name="officeArt object" descr="Comunicato Stampa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564" cy="889345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it-IT"/>
                              </w:rPr>
                              <w:t>Comunicato Stampa</w:t>
                            </w:r>
                          </w:p>
                          <w:p>
                            <w:pPr>
                              <w:pStyle w:val="Corpo"/>
                              <w:rPr>
                                <w:rFonts w:ascii="Times New Roman" w:cs="Times New Roman" w:hAnsi="Times New Roman" w:eastAsia="Times New Roman"/>
                              </w:rPr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</w:rPr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sz w:val="40"/>
                                <w:szCs w:val="4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  <w:rtl w:val="0"/>
                                <w:lang w:val="it-IT"/>
                              </w:rPr>
                              <w:t>Diamo valore al sapere. Una rivoluzione:</w:t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  <w:rtl w:val="0"/>
                                <w:lang w:val="it-IT"/>
                              </w:rPr>
                              <w:t>tra etica, contabilit</w:t>
                            </w:r>
                            <w:r>
                              <w:rPr>
                                <w:rFonts w:ascii="Times New Roman" w:hAnsi="Times New Roman" w:hint="default"/>
                                <w:sz w:val="40"/>
                                <w:szCs w:val="4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  <w:rtl w:val="0"/>
                                <w:lang w:val="it-IT"/>
                              </w:rPr>
                              <w:t>e intelligenza artificiale</w:t>
                            </w:r>
                            <w:r>
                              <w:rPr>
                                <w:rFonts w:ascii="Times New Roman" w:hAnsi="Times New Roman" w:hint="default"/>
                                <w:sz w:val="40"/>
                                <w:szCs w:val="40"/>
                                <w:rtl w:val="0"/>
                                <w:lang w:val="it-IT"/>
                              </w:rPr>
                              <w:t>”</w:t>
                            </w:r>
                          </w:p>
                          <w:p>
                            <w:pPr>
                              <w:pStyle w:val="Corpo"/>
                              <w:rPr>
                                <w:rFonts w:ascii="Times New Roman" w:cs="Times New Roman" w:hAnsi="Times New Roman" w:eastAsia="Times New Roman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  <w:sz w:val="10"/>
                                <w:szCs w:val="10"/>
                              </w:rPr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Invito-Presentazione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: workshop di studio e confronto</w:t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sulla valutazione dei beni immateriali nei bilanci di sostenibilit</w:t>
                            </w:r>
                            <w:r>
                              <w:rPr>
                                <w:rFonts w:ascii="Times New Roman" w:hAnsi="Times New Roman" w:hint="default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à</w:t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6"/>
                                <w:szCs w:val="6"/>
                              </w:rPr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  <w:sz w:val="6"/>
                                <w:szCs w:val="6"/>
                              </w:rPr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Torino, Palazzo Carignano</w:t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Museo Nazionale del Risorgimento Italiano</w:t>
                            </w:r>
                          </w:p>
                          <w:p>
                            <w:pPr>
                              <w:pStyle w:val="Corpo"/>
                              <w:jc w:val="center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8"/>
                                <w:szCs w:val="28"/>
                                <w:rtl w:val="0"/>
                                <w:lang w:val="it-IT"/>
                              </w:rPr>
                              <w:t>5 aprile 2025</w:t>
                            </w:r>
                          </w:p>
                          <w:p>
                            <w:pPr>
                              <w:pStyle w:val="Corpo"/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rpo"/>
                              <w:spacing w:after="10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Torino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Che valore economico si pu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ò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dare al sapere e all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esperienza?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Possiamo immaginare un mondo dove l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investimento nella conoscenza e nella formazione diventino quantificabili in modo oggettivo?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Il patrimonio immateriale, con tutti i suoi assets, pu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ò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diventare parte integrale dei bilanci aziendali?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. Queste le domande a cui, da tempo, 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Unesco prova a dare risposta e su cui anche la normativa Italiana (con il DL 125/2024) e quella europea (con la Direttiva 2022/2464/UE) hanno iniziato a porre doverosa attenzione.</w:t>
                            </w:r>
                          </w:p>
                          <w:p>
                            <w:pPr>
                              <w:pStyle w:val="Corpo"/>
                              <w:spacing w:after="10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Grazie ad uso sapiente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intelligenza artificiale e ad un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interazione sempre pi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ù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armonizzata delle nuove tecnologie nella nostra vita quotidiana, oggi si pu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ò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finalmente guardare a questo tema con la determinazione di coglierne appieno tutte le opportunit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à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, di crescita e sviluppo, nella piena salvaguardia delle nostre radici storiche e culturali.</w:t>
                            </w:r>
                          </w:p>
                          <w:p>
                            <w:pPr>
                              <w:pStyle w:val="Corpo"/>
                              <w:spacing w:after="10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Ecco quanto si ripropone 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associazione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Les Mus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é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es Vivants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”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lanciando il suo programma annuale di incontri volti alla valorizzazione dei giovani talenti e partendo con il convegno organizzato per il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5 aprile 2025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al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Palazzo Carignano di Torino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, sede del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Museo Nazionale del Risorgimento Italiano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: si tratter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di un dibattito aperto sull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importanza della valorizzazione dei beni immateriali, anche alla luce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introduzione della nuova rendicontazione di sostenibilit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à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.</w:t>
                            </w:r>
                          </w:p>
                          <w:p>
                            <w:pPr>
                              <w:pStyle w:val="Corpo"/>
                              <w:spacing w:after="10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Con il patrocinio del Ministero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Ambiente e della Sicurezza Energetica, del Ministero delle Imprese e del Made in Italy, della Regione Piemonte, della Citt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Metropolitana e del Comune di Torino, e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Ordine dei Dottori Commercialisti ed Esperti Contabili di Ivrea, Pinerolo e Torino, vari esperti nazionali ed internazionali del settore, tra pubblico e privato (tra cui soggetti apicali come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Antonio Guizzetti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</w:rPr>
                              <w:t>, gi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economista senior in Banca Mondiale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insieme a docenti della Sorbonna di Parigi e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Universit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di Torino, apriranno il confronto sulle nuove procedure di rendicontazione e tutela nei Beni Culturali e Ambientali.</w:t>
                            </w:r>
                          </w:p>
                          <w:p>
                            <w:pPr>
                              <w:pStyle w:val="Corpo"/>
                              <w:spacing w:after="10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Con l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introduzione delle nuove normative, ora gli obiettivi di sostenibilit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vengono rendicontati anche per il relativo impatto economico e patrimoniale,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- sottolinea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Enrico Manfredi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, presidente di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1"/>
                                <w:lang w:val="ar-SA" w:bidi="ar-SA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Les Mus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fr-FR"/>
                              </w:rPr>
                              <w:t>es Vivants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dando cos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ì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vita alla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rendicontazione di sostenibilit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à”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e alla nuova figura professionale del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revisore della sostenibilit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à”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: tante le prospettive, i vantaggi e le opportunit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à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.</w:t>
                            </w:r>
                          </w:p>
                          <w:p>
                            <w:pPr>
                              <w:pStyle w:val="Corpo"/>
                              <w:spacing w:after="10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Ma non ci si focalizzer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esclusivamente sulle pur apicali opportunit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offerte dalla nuove procedure.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Il focus complessivo sar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sul Capitale Umano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, che inizia cos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ì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 prendere forma e centralit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anche nel definizione dei valori e dei bilanci degli enti e delle aziende, cos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ì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come dei singoli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, - continua Enrico Manfredi -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 e con questa nuova definizione, e la conseguente difesa, del know-how proprio di ogni essere umano, il ragionamento non 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è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pi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ù 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solo tecnico-contabile, ma diviene fortemente etico e valoriale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.</w:t>
                            </w:r>
                          </w:p>
                          <w:p>
                            <w:pPr>
                              <w:pStyle w:val="Corpo"/>
                              <w:spacing w:after="140"/>
                              <w:ind w:firstLine="187"/>
                              <w:jc w:val="both"/>
                              <w:rPr>
                                <w:rFonts w:ascii="Times New Roman" w:cs="Times New Roman" w:hAnsi="Times New Roman" w:eastAsia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Con inizio alle ore 10:30 di sabato 5 aprile, e ad ingresso libero, il confronto si svilupper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per 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intera giornata su vari panel che animeranno in contemporanea la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Sala della Camera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”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e la 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Sala Codici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”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del Museo Nazionale del Risorgimento Italiano: si partir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con il cercare di definire al meglio i beni immateriali, per poi renderli centrali nei bilanci di sostenibilit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(anche grazie all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uso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intelligenza artificiale), quindi si affronter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la sfida della tutela legale a livello globale per il sapere, la creativit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 le eccellenze, e infine si ragioner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sull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impatto di questa grande trasformazione nell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economia e nella societ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à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e fino al recupero dei valori dell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umanit</w:t>
                            </w:r>
                            <w:r>
                              <w:rPr>
                                <w:rFonts w:ascii="Times New Roman" w:hAnsi="Times New Roman" w:hint="default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>à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rtl w:val="0"/>
                                <w:lang w:val="it-IT"/>
                              </w:rPr>
                              <w:t xml:space="preserve">, delle tradizioni e della cultura. </w:t>
                            </w:r>
                          </w:p>
                          <w:p>
                            <w:pPr>
                              <w:pStyle w:val="Corpo"/>
                              <w:spacing w:after="180"/>
                              <w:ind w:firstLine="187"/>
                              <w:jc w:val="right"/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Per registrarsi all</w:t>
                            </w:r>
                            <w:r>
                              <w:rPr>
                                <w:rFonts w:ascii="Times New Roman" w:hAnsi="Times New Roman" w:hint="default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 xml:space="preserve">evento, collegatevi a </w:t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instrText xml:space="preserve"> HYPERLINK "http://lmv24.org"</w:instrText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1"/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lmv24.org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 xml:space="preserve"> o inviate un</w:t>
                            </w:r>
                            <w:r>
                              <w:rPr>
                                <w:rFonts w:ascii="Times New Roman" w:hAnsi="Times New Roman" w:hint="default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’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 xml:space="preserve">email a: </w:t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instrText xml:space="preserve"> HYPERLINK "mailto:presidenza@lmv24.org"</w:instrText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1"/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presidenza@lmv24.org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hint="default"/>
                                <w:sz w:val="18"/>
                                <w:szCs w:val="18"/>
                                <w:rtl w:val="0"/>
                              </w:rPr>
                              <w:t> 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rpo"/>
                              <w:ind w:firstLine="187"/>
                              <w:jc w:val="right"/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Per informazioni o contatti stampa:</w:t>
                            </w:r>
                          </w:p>
                          <w:p>
                            <w:pPr>
                              <w:pStyle w:val="Corpo"/>
                              <w:ind w:firstLine="187"/>
                              <w:jc w:val="right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Massimiliano Panero</w:t>
                            </w:r>
                          </w:p>
                          <w:p>
                            <w:pPr>
                              <w:pStyle w:val="Corpo"/>
                              <w:ind w:firstLine="187"/>
                              <w:jc w:val="right"/>
                              <w:rPr>
                                <w:rFonts w:ascii="Times New Roman" w:cs="Times New Roman" w:hAnsi="Times New Roman" w:eastAsia="Times New Roman"/>
                                <w:i w:val="1"/>
                                <w:iCs w:val="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Responsabile Relazioni Esterne ed Istituzionali</w:t>
                            </w:r>
                          </w:p>
                          <w:p>
                            <w:pPr>
                              <w:pStyle w:val="Corpo"/>
                              <w:ind w:firstLine="187"/>
                              <w:jc w:val="right"/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 xml:space="preserve">Email: </w:t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instrText xml:space="preserve"> HYPERLINK "mailto:m.panero@lmv24.org"</w:instrText>
                            </w:r>
                            <w:r>
                              <w:rPr>
                                <w:rStyle w:val="Hyperlink.1"/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1"/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m.panero@lmv24.org</w:t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Corpo"/>
                              <w:ind w:firstLine="187"/>
                              <w:jc w:val="right"/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rtl w:val="0"/>
                                <w:lang w:val="it-IT"/>
                              </w:rPr>
                              <w:t>Cell: +39.347.711.5694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60.3pt;margin-top:70.8pt;width:474.6pt;height:700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32"/>
                          <w:szCs w:val="32"/>
                          <w:rtl w:val="0"/>
                          <w:lang w:val="it-IT"/>
                        </w:rPr>
                        <w:t>Comunicato Stampa</w:t>
                      </w:r>
                    </w:p>
                    <w:p>
                      <w:pPr>
                        <w:pStyle w:val="Corpo"/>
                        <w:rPr>
                          <w:rFonts w:ascii="Times New Roman" w:cs="Times New Roman" w:hAnsi="Times New Roman" w:eastAsia="Times New Roman"/>
                        </w:rPr>
                      </w:pPr>
                      <w:r>
                        <w:rPr>
                          <w:rFonts w:ascii="Times New Roman" w:cs="Times New Roman" w:hAnsi="Times New Roman" w:eastAsia="Times New Roman"/>
                        </w:rPr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hint="default"/>
                          <w:sz w:val="40"/>
                          <w:szCs w:val="4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  <w:rtl w:val="0"/>
                          <w:lang w:val="it-IT"/>
                        </w:rPr>
                        <w:t>Diamo valore al sapere. Una rivoluzione:</w:t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sz w:val="40"/>
                          <w:szCs w:val="40"/>
                          <w:rtl w:val="0"/>
                          <w:lang w:val="it-IT"/>
                        </w:rPr>
                        <w:t>tra etica, contabilit</w:t>
                      </w:r>
                      <w:r>
                        <w:rPr>
                          <w:rFonts w:ascii="Times New Roman" w:hAnsi="Times New Roman" w:hint="default"/>
                          <w:sz w:val="40"/>
                          <w:szCs w:val="4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  <w:rtl w:val="0"/>
                          <w:lang w:val="it-IT"/>
                        </w:rPr>
                        <w:t>e intelligenza artificiale</w:t>
                      </w:r>
                      <w:r>
                        <w:rPr>
                          <w:rFonts w:ascii="Times New Roman" w:hAnsi="Times New Roman" w:hint="default"/>
                          <w:sz w:val="40"/>
                          <w:szCs w:val="40"/>
                          <w:rtl w:val="0"/>
                          <w:lang w:val="it-IT"/>
                        </w:rPr>
                        <w:t>”</w:t>
                      </w:r>
                    </w:p>
                    <w:p>
                      <w:pPr>
                        <w:pStyle w:val="Corpo"/>
                        <w:rPr>
                          <w:rFonts w:ascii="Times New Roman" w:cs="Times New Roman" w:hAnsi="Times New Roman" w:eastAsia="Times New Roman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 w:cs="Times New Roman" w:hAnsi="Times New Roman" w:eastAsia="Times New Roman"/>
                          <w:sz w:val="10"/>
                          <w:szCs w:val="10"/>
                        </w:rPr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8"/>
                          <w:szCs w:val="28"/>
                          <w:rtl w:val="0"/>
                          <w:lang w:val="it-IT"/>
                        </w:rPr>
                        <w:t>Invito-Presentazione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rtl w:val="0"/>
                          <w:lang w:val="it-IT"/>
                        </w:rPr>
                        <w:t>: workshop di studio e confronto</w:t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rtl w:val="0"/>
                          <w:lang w:val="it-IT"/>
                        </w:rPr>
                        <w:t>sulla valutazione dei beni immateriali nei bilanci di sostenibilit</w:t>
                      </w:r>
                      <w:r>
                        <w:rPr>
                          <w:rFonts w:ascii="Times New Roman" w:hAnsi="Times New Roman" w:hint="default"/>
                          <w:sz w:val="28"/>
                          <w:szCs w:val="28"/>
                          <w:rtl w:val="0"/>
                          <w:lang w:val="it-IT"/>
                        </w:rPr>
                        <w:t>à</w:t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6"/>
                          <w:szCs w:val="6"/>
                        </w:rPr>
                      </w:pPr>
                      <w:r>
                        <w:rPr>
                          <w:rFonts w:ascii="Times New Roman" w:cs="Times New Roman" w:hAnsi="Times New Roman" w:eastAsia="Times New Roman"/>
                          <w:sz w:val="6"/>
                          <w:szCs w:val="6"/>
                        </w:rPr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rtl w:val="0"/>
                          <w:lang w:val="it-IT"/>
                        </w:rPr>
                        <w:t>Torino, Palazzo Carignano</w:t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rtl w:val="0"/>
                          <w:lang w:val="it-IT"/>
                        </w:rPr>
                        <w:t>Museo Nazionale del Risorgimento Italiano</w:t>
                      </w:r>
                    </w:p>
                    <w:p>
                      <w:pPr>
                        <w:pStyle w:val="Corpo"/>
                        <w:jc w:val="center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8"/>
                          <w:szCs w:val="28"/>
                          <w:rtl w:val="0"/>
                          <w:lang w:val="it-IT"/>
                        </w:rPr>
                        <w:t>5 aprile 2025</w:t>
                      </w:r>
                    </w:p>
                    <w:p>
                      <w:pPr>
                        <w:pStyle w:val="Corpo"/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rpo"/>
                        <w:spacing w:after="10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0"/>
                          <w:szCs w:val="20"/>
                          <w:rtl w:val="0"/>
                          <w:lang w:val="it-IT"/>
                        </w:rPr>
                        <w:t>Torino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.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Che valore economico si pu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ò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dare al sapere e all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esperienza?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.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Possiamo immaginare un mondo dove l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investimento nella conoscenza e nella formazione diventino quantificabili in modo oggettivo?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.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Il patrimonio immateriale, con tutti i suoi assets, pu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ò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diventare parte integrale dei bilanci aziendali?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. Queste le domande a cui, da tempo, 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Unesco prova a dare risposta e su cui anche la normativa Italiana (con il DL 125/2024) e quella europea (con la Direttiva 2022/2464/UE) hanno iniziato a porre doverosa attenzione.</w:t>
                      </w:r>
                    </w:p>
                    <w:p>
                      <w:pPr>
                        <w:pStyle w:val="Corpo"/>
                        <w:spacing w:after="10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Grazie ad uso sapiente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intelligenza artificiale e ad un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interazione sempre pi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ù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armonizzata delle nuove tecnologie nella nostra vita quotidiana, oggi si pu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ò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finalmente guardare a questo tema con la determinazione di coglierne appieno tutte le opportunit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à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, di crescita e sviluppo, nella piena salvaguardia delle nostre radici storiche e culturali.</w:t>
                      </w:r>
                    </w:p>
                    <w:p>
                      <w:pPr>
                        <w:pStyle w:val="Corpo"/>
                        <w:spacing w:after="10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Ecco quanto si ripropone 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associazione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Les Mus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é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es Vivants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”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lanciando il suo programma annuale di incontri volti alla valorizzazione dei giovani talenti e partendo con il convegno organizzato per il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0"/>
                          <w:szCs w:val="20"/>
                          <w:rtl w:val="0"/>
                          <w:lang w:val="it-IT"/>
                        </w:rPr>
                        <w:t>5 aprile 2025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 al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0"/>
                          <w:szCs w:val="20"/>
                          <w:rtl w:val="0"/>
                          <w:lang w:val="it-IT"/>
                        </w:rPr>
                        <w:t>Palazzo Carignano di Torino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, sede del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0"/>
                          <w:szCs w:val="20"/>
                          <w:rtl w:val="0"/>
                          <w:lang w:val="it-IT"/>
                        </w:rPr>
                        <w:t>Museo Nazionale del Risorgimento Italiano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: si tratter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di un dibattito aperto sull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importanza della valorizzazione dei beni immateriali, anche alla luce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introduzione della nuova rendicontazione di sostenibilit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à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.</w:t>
                      </w:r>
                    </w:p>
                    <w:p>
                      <w:pPr>
                        <w:pStyle w:val="Corpo"/>
                        <w:spacing w:after="10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Con il patrocinio del Ministero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Ambiente e della Sicurezza Energetica, del Ministero delle Imprese e del Made in Italy, della Regione Piemonte, della Citt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Metropolitana e del Comune di Torino, e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Ordine dei Dottori Commercialisti ed Esperti Contabili di Ivrea, Pinerolo e Torino, vari esperti nazionali ed internazionali del settore, tra pubblico e privato (tra cui soggetti apicali come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0"/>
                          <w:szCs w:val="20"/>
                          <w:rtl w:val="0"/>
                          <w:lang w:val="it-IT"/>
                        </w:rPr>
                        <w:t>Antonio Guizzetti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</w:rPr>
                        <w:t>, gi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economista senior in Banca Mondiale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)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</w:rPr>
                        <w:t xml:space="preserve">,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insieme a docenti della Sorbonna di Parigi e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Universit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di Torino, apriranno il confronto sulle nuove procedure di rendicontazione e tutela nei Beni Culturali e Ambientali.</w:t>
                      </w:r>
                    </w:p>
                    <w:p>
                      <w:pPr>
                        <w:pStyle w:val="Corpo"/>
                        <w:spacing w:after="10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Con l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introduzione delle nuove normative, ora gli obiettivi di sostenibilit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vengono rendicontati anche per il relativo impatto economico e patrimoniale,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 - sottolinea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20"/>
                          <w:szCs w:val="20"/>
                          <w:rtl w:val="0"/>
                          <w:lang w:val="it-IT"/>
                        </w:rPr>
                        <w:t>Enrico Manfredi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, presidente di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1"/>
                          <w:lang w:val="ar-SA" w:bidi="ar-SA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fr-FR"/>
                        </w:rPr>
                        <w:t>Les Mus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fr-FR"/>
                        </w:rPr>
                        <w:t>é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fr-FR"/>
                        </w:rPr>
                        <w:t>es Vivants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dando cos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ì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vita alla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rendicontazione di sostenibilit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à”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e alla nuova figura professionale del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revisore della sostenibilit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à”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: tante le prospettive, i vantaggi e le opportunit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à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.</w:t>
                      </w:r>
                    </w:p>
                    <w:p>
                      <w:pPr>
                        <w:pStyle w:val="Corpo"/>
                        <w:spacing w:after="10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Ma non ci si focalizzer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esclusivamente sulle pur apicali opportunit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offerte dalla nuove procedure.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Il focus complessivo sar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sul Capitale Umano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, che inizia cos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ì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a prendere forma e centralit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anche nel definizione dei valori e dei bilanci degli enti e delle aziende, cos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ì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come dei singoli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, - continua Enrico Manfredi -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 e con questa nuova definizione, e la conseguente difesa, del know-how proprio di ogni essere umano, il ragionamento non 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è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pi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 xml:space="preserve">ù 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solo tecnico-contabile, ma diviene fortemente etico e valoriale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.</w:t>
                      </w:r>
                    </w:p>
                    <w:p>
                      <w:pPr>
                        <w:pStyle w:val="Corpo"/>
                        <w:spacing w:after="140"/>
                        <w:ind w:firstLine="187"/>
                        <w:jc w:val="both"/>
                        <w:rPr>
                          <w:rFonts w:ascii="Times New Roman" w:cs="Times New Roman" w:hAnsi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Con inizio alle ore 10:30 di sabato 5 aprile, e ad ingresso libero, il confronto si svilupper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per 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intera giornata su vari panel che animeranno in contemporanea la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Sala della Camera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”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e la 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20"/>
                          <w:szCs w:val="20"/>
                          <w:rtl w:val="0"/>
                          <w:lang w:val="it-IT"/>
                        </w:rPr>
                        <w:t>Sala Codici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”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del Museo Nazionale del Risorgimento Italiano: si partir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con il cercare di definire al meglio i beni immateriali, per poi renderli centrali nei bilanci di sostenibilit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(anche grazie all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uso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intelligenza artificiale), quindi si affronter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la sfida della tutela legale a livello globale per il sapere, la creativit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e le eccellenze, e infine si ragioner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sull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impatto di questa grande trasformazione nell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economia e nella societ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 xml:space="preserve">à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e fino al recupero dei valori dell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>umanit</w:t>
                      </w:r>
                      <w:r>
                        <w:rPr>
                          <w:rFonts w:ascii="Times New Roman" w:hAnsi="Times New Roman" w:hint="default"/>
                          <w:sz w:val="20"/>
                          <w:szCs w:val="20"/>
                          <w:rtl w:val="0"/>
                          <w:lang w:val="it-IT"/>
                        </w:rPr>
                        <w:t>à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  <w:rtl w:val="0"/>
                          <w:lang w:val="it-IT"/>
                        </w:rPr>
                        <w:t xml:space="preserve">, delle tradizioni e della cultura. </w:t>
                      </w:r>
                    </w:p>
                    <w:p>
                      <w:pPr>
                        <w:pStyle w:val="Corpo"/>
                        <w:spacing w:after="180"/>
                        <w:ind w:firstLine="187"/>
                        <w:jc w:val="right"/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>Per registrarsi all</w:t>
                      </w:r>
                      <w:r>
                        <w:rPr>
                          <w:rFonts w:ascii="Times New Roman" w:hAnsi="Times New Roman" w:hint="default"/>
                          <w:sz w:val="18"/>
                          <w:szCs w:val="18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 xml:space="preserve">evento, collegatevi a </w:t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begin" w:fldLock="0"/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instrText xml:space="preserve"> HYPERLINK "http://lmv24.org"</w:instrText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separate" w:fldLock="0"/>
                      </w:r>
                      <w:r>
                        <w:rPr>
                          <w:rStyle w:val="Hyperlink.1"/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>lmv24.org</w:t>
                      </w:r>
                      <w:r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end" w:fldLock="0"/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 xml:space="preserve"> o inviate un</w:t>
                      </w:r>
                      <w:r>
                        <w:rPr>
                          <w:rFonts w:ascii="Times New Roman" w:hAnsi="Times New Roman" w:hint="default"/>
                          <w:sz w:val="18"/>
                          <w:szCs w:val="18"/>
                          <w:rtl w:val="0"/>
                          <w:lang w:val="it-IT"/>
                        </w:rPr>
                        <w:t>’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 xml:space="preserve">email a: </w:t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begin" w:fldLock="0"/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instrText xml:space="preserve"> HYPERLINK "mailto:presidenza@lmv24.org"</w:instrText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separate" w:fldLock="0"/>
                      </w:r>
                      <w:r>
                        <w:rPr>
                          <w:rStyle w:val="Hyperlink.1"/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>presidenza@lmv24.org</w:t>
                      </w:r>
                      <w:r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end" w:fldLock="0"/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 xml:space="preserve"> </w:t>
                      </w:r>
                      <w:r>
                        <w:rPr>
                          <w:rFonts w:ascii="Times New Roman" w:hAnsi="Times New Roman" w:hint="default"/>
                          <w:sz w:val="18"/>
                          <w:szCs w:val="18"/>
                          <w:rtl w:val="0"/>
                        </w:rPr>
                        <w:t> </w:t>
                      </w:r>
                      <w:r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rpo"/>
                        <w:ind w:firstLine="187"/>
                        <w:jc w:val="right"/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>Per informazioni o contatti stampa:</w:t>
                      </w:r>
                    </w:p>
                    <w:p>
                      <w:pPr>
                        <w:pStyle w:val="Corpo"/>
                        <w:ind w:firstLine="187"/>
                        <w:jc w:val="right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sz w:val="18"/>
                          <w:szCs w:val="18"/>
                          <w:rtl w:val="0"/>
                          <w:lang w:val="it-IT"/>
                        </w:rPr>
                        <w:t>Massimiliano Panero</w:t>
                      </w:r>
                    </w:p>
                    <w:p>
                      <w:pPr>
                        <w:pStyle w:val="Corpo"/>
                        <w:ind w:firstLine="187"/>
                        <w:jc w:val="right"/>
                        <w:rPr>
                          <w:rFonts w:ascii="Times New Roman" w:cs="Times New Roman" w:hAnsi="Times New Roman" w:eastAsia="Times New Roman"/>
                          <w:i w:val="1"/>
                          <w:iCs w:val="1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i w:val="1"/>
                          <w:iCs w:val="1"/>
                          <w:sz w:val="18"/>
                          <w:szCs w:val="18"/>
                          <w:rtl w:val="0"/>
                          <w:lang w:val="it-IT"/>
                        </w:rPr>
                        <w:t>Responsabile Relazioni Esterne ed Istituzionali</w:t>
                      </w:r>
                    </w:p>
                    <w:p>
                      <w:pPr>
                        <w:pStyle w:val="Corpo"/>
                        <w:ind w:firstLine="187"/>
                        <w:jc w:val="right"/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 xml:space="preserve">Email: </w:t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begin" w:fldLock="0"/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instrText xml:space="preserve"> HYPERLINK "mailto:m.panero@lmv24.org"</w:instrText>
                      </w:r>
                      <w:r>
                        <w:rPr>
                          <w:rStyle w:val="Hyperlink.1"/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separate" w:fldLock="0"/>
                      </w:r>
                      <w:r>
                        <w:rPr>
                          <w:rStyle w:val="Hyperlink.1"/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>m.panero@lmv24.org</w:t>
                      </w:r>
                      <w:r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  <w:fldChar w:fldCharType="end" w:fldLock="0"/>
                      </w:r>
                      <w:r>
                        <w:rPr>
                          <w:rFonts w:ascii="Times New Roman" w:cs="Times New Roman" w:hAnsi="Times New Roman" w:eastAsia="Times New Roman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Corpo"/>
                        <w:ind w:firstLine="187"/>
                        <w:jc w:val="right"/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rtl w:val="0"/>
                          <w:lang w:val="it-IT"/>
                        </w:rPr>
                        <w:t>Cell: +39.347.711.5694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tabs>
        <w:tab w:val="center" w:pos="4819"/>
        <w:tab w:val="right" w:pos="9638"/>
        <w:tab w:val="clear" w:pos="9020"/>
      </w:tabs>
      <w:spacing w:line="216" w:lineRule="auto"/>
      <w:jc w:val="left"/>
      <w:rPr>
        <w:rFonts w:ascii="Times New Roman" w:cs="Times New Roman" w:hAnsi="Times New Roman" w:eastAsia="Times New Roman"/>
        <w:b w:val="1"/>
        <w:bCs w:val="1"/>
        <w:outline w:val="0"/>
        <w:color w:val="606160"/>
        <w:sz w:val="22"/>
        <w:szCs w:val="22"/>
        <w14:textFill>
          <w14:solidFill>
            <w14:srgbClr w14:val="616161"/>
          </w14:solidFill>
        </w14:textFill>
      </w:rPr>
    </w:pPr>
    <w:r>
      <w:rPr>
        <w:rFonts w:ascii="Times New Roman" w:hAnsi="Times New Roman"/>
        <w:b w:val="1"/>
        <w:bCs w:val="1"/>
        <w:outline w:val="0"/>
        <w:color w:val="606160"/>
        <w:sz w:val="22"/>
        <w:szCs w:val="22"/>
        <w14:textFill>
          <w14:solidFill>
            <w14:srgbClr w14:val="616161"/>
          </w14:solidFill>
        </w14:textFill>
      </w:rPr>
      <w:tab/>
    </w:r>
    <w:r>
      <w:rPr>
        <w:rFonts w:ascii="Times New Roman" w:hAnsi="Times New Roman" w:hint="default"/>
        <w:b w:val="1"/>
        <w:bCs w:val="1"/>
        <w:outline w:val="0"/>
        <w:color w:val="606160"/>
        <w:sz w:val="22"/>
        <w:szCs w:val="22"/>
        <w:rtl w:val="0"/>
        <w:lang w:val="it-IT"/>
        <w14:textFill>
          <w14:solidFill>
            <w14:srgbClr w14:val="616161"/>
          </w14:solidFill>
        </w14:textFill>
      </w:rPr>
      <w:t>———————————————————————————————————————————</w:t>
    </w:r>
  </w:p>
  <w:p>
    <w:pPr>
      <w:pStyle w:val="Intestazione e piè di pagina"/>
      <w:tabs>
        <w:tab w:val="center" w:pos="4819"/>
        <w:tab w:val="right" w:pos="9638"/>
        <w:tab w:val="clear" w:pos="9020"/>
      </w:tabs>
      <w:spacing w:line="216" w:lineRule="auto"/>
      <w:jc w:val="left"/>
      <w:rPr>
        <w:rFonts w:ascii="Times New Roman" w:cs="Times New Roman" w:hAnsi="Times New Roman" w:eastAsia="Times New Roman"/>
        <w:b w:val="1"/>
        <w:bCs w:val="1"/>
        <w:outline w:val="0"/>
        <w:color w:val="606160"/>
        <w:sz w:val="22"/>
        <w:szCs w:val="22"/>
        <w14:textFill>
          <w14:solidFill>
            <w14:srgbClr w14:val="616161"/>
          </w14:solidFill>
        </w14:textFill>
      </w:rPr>
    </w:pPr>
  </w:p>
  <w:p>
    <w:pPr>
      <w:pStyle w:val="Intestazione e piè di pagina"/>
      <w:tabs>
        <w:tab w:val="center" w:pos="4819"/>
        <w:tab w:val="right" w:pos="9638"/>
        <w:tab w:val="clear" w:pos="9020"/>
      </w:tabs>
      <w:spacing w:line="216" w:lineRule="auto"/>
      <w:jc w:val="left"/>
      <w:rPr>
        <w:rFonts w:ascii="Times New Roman" w:cs="Times New Roman" w:hAnsi="Times New Roman" w:eastAsia="Times New Roman"/>
        <w:b w:val="1"/>
        <w:bCs w:val="1"/>
        <w:outline w:val="0"/>
        <w:color w:val="5e5f5e"/>
        <w:sz w:val="22"/>
        <w:szCs w:val="22"/>
        <w14:textFill>
          <w14:solidFill>
            <w14:srgbClr w14:val="5F5F5F"/>
          </w14:solidFill>
        </w14:textFill>
      </w:rPr>
    </w:pPr>
    <w:r>
      <w:rPr>
        <w:rFonts w:ascii="Times New Roman" w:cs="Times New Roman" w:hAnsi="Times New Roman" w:eastAsia="Times New Roman"/>
        <w:b w:val="1"/>
        <w:bCs w:val="1"/>
        <w:outline w:val="0"/>
        <w:color w:val="5e5f5e"/>
        <w:sz w:val="22"/>
        <w:szCs w:val="22"/>
        <w14:textFill>
          <w14:solidFill>
            <w14:srgbClr w14:val="5F5F5F"/>
          </w14:solidFill>
        </w14:textFill>
      </w:rPr>
      <w:tab/>
    </w:r>
    <w:r>
      <w:rPr>
        <w:rFonts w:ascii="Times New Roman" w:hAnsi="Times New Roman"/>
        <w:b w:val="1"/>
        <w:bCs w:val="1"/>
        <w:outline w:val="0"/>
        <w:color w:val="5e5f5e"/>
        <w:sz w:val="22"/>
        <w:szCs w:val="22"/>
        <w:rtl w:val="0"/>
        <w:lang w:val="it-IT"/>
        <w14:textFill>
          <w14:solidFill>
            <w14:srgbClr w14:val="5F5F5F"/>
          </w14:solidFill>
        </w14:textFill>
      </w:rPr>
      <w:t>Les Mus</w:t>
    </w:r>
    <w:r>
      <w:rPr>
        <w:rFonts w:ascii="Times New Roman" w:hAnsi="Times New Roman" w:hint="default"/>
        <w:b w:val="1"/>
        <w:bCs w:val="1"/>
        <w:outline w:val="0"/>
        <w:color w:val="5e5f5e"/>
        <w:sz w:val="22"/>
        <w:szCs w:val="22"/>
        <w:rtl w:val="0"/>
        <w:lang w:val="it-IT"/>
        <w14:textFill>
          <w14:solidFill>
            <w14:srgbClr w14:val="5F5F5F"/>
          </w14:solidFill>
        </w14:textFill>
      </w:rPr>
      <w:t>é</w:t>
    </w:r>
    <w:r>
      <w:rPr>
        <w:rFonts w:ascii="Times New Roman" w:hAnsi="Times New Roman"/>
        <w:b w:val="1"/>
        <w:bCs w:val="1"/>
        <w:outline w:val="0"/>
        <w:color w:val="5e5f5e"/>
        <w:sz w:val="22"/>
        <w:szCs w:val="22"/>
        <w:rtl w:val="0"/>
        <w:lang w:val="it-IT"/>
        <w14:textFill>
          <w14:solidFill>
            <w14:srgbClr w14:val="5F5F5F"/>
          </w14:solidFill>
        </w14:textFill>
      </w:rPr>
      <w:t>es Vivant ETS</w:t>
    </w:r>
  </w:p>
  <w:p>
    <w:pPr>
      <w:pStyle w:val="Intestazione e piè di pagina"/>
      <w:tabs>
        <w:tab w:val="center" w:pos="4819"/>
        <w:tab w:val="right" w:pos="9638"/>
        <w:tab w:val="clear" w:pos="9020"/>
      </w:tabs>
      <w:spacing w:line="216" w:lineRule="auto"/>
      <w:jc w:val="left"/>
      <w:rPr>
        <w:rFonts w:ascii="Times New Roman" w:cs="Times New Roman" w:hAnsi="Times New Roman" w:eastAsia="Times New Roman"/>
        <w:outline w:val="0"/>
        <w:color w:val="5e5f5e"/>
        <w:sz w:val="20"/>
        <w:szCs w:val="20"/>
        <w14:textFill>
          <w14:solidFill>
            <w14:srgbClr w14:val="5F5F5F"/>
          </w14:solidFill>
        </w14:textFill>
      </w:rPr>
    </w:pPr>
    <w:r>
      <w:rPr>
        <w:rFonts w:ascii="Times New Roman" w:cs="Times New Roman" w:hAnsi="Times New Roman" w:eastAsia="Times New Roman"/>
        <w:outline w:val="0"/>
        <w:color w:val="5e5f5e"/>
        <w:sz w:val="20"/>
        <w:szCs w:val="20"/>
        <w14:textFill>
          <w14:solidFill>
            <w14:srgbClr w14:val="5F5F5F"/>
          </w14:solidFill>
        </w14:textFill>
      </w:rPr>
      <w:tab/>
    </w:r>
    <w:r>
      <w:rPr>
        <w:rFonts w:ascii="Times New Roman" w:cs="Arial Unicode MS" w:hAnsi="Times New Roman" w:eastAsia="Arial Unicode MS"/>
        <w:b w:val="0"/>
        <w:bCs w:val="0"/>
        <w:i w:val="0"/>
        <w:iCs w:val="0"/>
        <w:outline w:val="0"/>
        <w:color w:val="5e5f5e"/>
        <w:sz w:val="20"/>
        <w:szCs w:val="20"/>
        <w:rtl w:val="0"/>
        <w:lang w:val="it-IT"/>
        <w14:textFill>
          <w14:solidFill>
            <w14:srgbClr w14:val="5F5F5F"/>
          </w14:solidFill>
        </w14:textFill>
      </w:rPr>
      <w:t>associazione no profit</w:t>
    </w:r>
  </w:p>
  <w:p>
    <w:pPr>
      <w:pStyle w:val="Intestazione e piè di pagina"/>
      <w:tabs>
        <w:tab w:val="center" w:pos="4819"/>
        <w:tab w:val="right" w:pos="9638"/>
        <w:tab w:val="clear" w:pos="9020"/>
      </w:tabs>
      <w:spacing w:line="216" w:lineRule="auto"/>
      <w:jc w:val="left"/>
    </w:pPr>
    <w:r>
      <w:rPr>
        <w:rFonts w:ascii="Times New Roman" w:cs="Times New Roman" w:hAnsi="Times New Roman" w:eastAsia="Times New Roman"/>
        <w:outline w:val="0"/>
        <w:color w:val="5e5f5e"/>
        <w:sz w:val="22"/>
        <w:szCs w:val="22"/>
        <w14:textFill>
          <w14:solidFill>
            <w14:srgbClr w14:val="5F5F5F"/>
          </w14:solidFill>
        </w14:textFill>
      </w:rPr>
      <w:tab/>
    </w:r>
    <w:r>
      <w:rPr>
        <w:rStyle w:val="Hyperlink.0"/>
        <w:rFonts w:ascii="Times New Roman" w:cs="Times New Roman" w:hAnsi="Times New Roman" w:eastAsia="Times New Roman"/>
        <w:b w:val="0"/>
        <w:bCs w:val="0"/>
        <w:i w:val="0"/>
        <w:iCs w:val="0"/>
        <w:outline w:val="0"/>
        <w:color w:val="5e5f5e"/>
        <w:sz w:val="22"/>
        <w:szCs w:val="22"/>
        <w:u w:val="single"/>
        <w14:textFill>
          <w14:solidFill>
            <w14:srgbClr w14:val="5F5F5F"/>
          </w14:solidFill>
        </w14:textFill>
      </w:rPr>
      <w:fldChar w:fldCharType="begin" w:fldLock="0"/>
    </w:r>
    <w:r>
      <w:rPr>
        <w:rStyle w:val="Hyperlink.0"/>
        <w:rFonts w:ascii="Times New Roman" w:cs="Times New Roman" w:hAnsi="Times New Roman" w:eastAsia="Times New Roman"/>
        <w:b w:val="0"/>
        <w:bCs w:val="0"/>
        <w:i w:val="0"/>
        <w:iCs w:val="0"/>
        <w:outline w:val="0"/>
        <w:color w:val="5e5f5e"/>
        <w:sz w:val="22"/>
        <w:szCs w:val="22"/>
        <w:u w:val="single"/>
        <w14:textFill>
          <w14:solidFill>
            <w14:srgbClr w14:val="5F5F5F"/>
          </w14:solidFill>
        </w14:textFill>
      </w:rPr>
      <w:instrText xml:space="preserve"> HYPERLINK "http://www.lmv24.org"</w:instrText>
    </w:r>
    <w:r>
      <w:rPr>
        <w:rStyle w:val="Hyperlink.0"/>
        <w:rFonts w:ascii="Times New Roman" w:cs="Times New Roman" w:hAnsi="Times New Roman" w:eastAsia="Times New Roman"/>
        <w:b w:val="0"/>
        <w:bCs w:val="0"/>
        <w:i w:val="0"/>
        <w:iCs w:val="0"/>
        <w:outline w:val="0"/>
        <w:color w:val="5e5f5e"/>
        <w:sz w:val="22"/>
        <w:szCs w:val="22"/>
        <w:u w:val="single"/>
        <w14:textFill>
          <w14:solidFill>
            <w14:srgbClr w14:val="5F5F5F"/>
          </w14:solidFill>
        </w14:textFill>
      </w:rPr>
      <w:fldChar w:fldCharType="separate" w:fldLock="0"/>
    </w:r>
    <w:r>
      <w:rPr>
        <w:rStyle w:val="Hyperlink.0"/>
        <w:rFonts w:ascii="Times New Roman" w:cs="Arial Unicode MS" w:hAnsi="Times New Roman" w:eastAsia="Arial Unicode MS"/>
        <w:b w:val="0"/>
        <w:bCs w:val="0"/>
        <w:i w:val="0"/>
        <w:iCs w:val="0"/>
        <w:outline w:val="0"/>
        <w:color w:val="5e5f5e"/>
        <w:sz w:val="22"/>
        <w:szCs w:val="22"/>
        <w:u w:val="single"/>
        <w:rtl w:val="0"/>
        <w:lang w:val="it-IT"/>
        <w14:textFill>
          <w14:solidFill>
            <w14:srgbClr w14:val="5F5F5F"/>
          </w14:solidFill>
        </w14:textFill>
      </w:rPr>
      <w:t>www.lmv24.org</w:t>
    </w:r>
    <w:r>
      <w:rPr>
        <w:rFonts w:ascii="Times New Roman" w:cs="Times New Roman" w:hAnsi="Times New Roman" w:eastAsia="Times New Roman"/>
        <w:outline w:val="0"/>
        <w:color w:val="5e5f5e"/>
        <w:sz w:val="22"/>
        <w:szCs w:val="22"/>
        <w14:textFill>
          <w14:solidFill>
            <w14:srgbClr w14:val="5F5F5F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b w:val="0"/>
      <w:bCs w:val="0"/>
      <w:outline w:val="0"/>
      <w:color w:val="5e5f5e"/>
      <w:u w:val="single"/>
      <w14:textFill>
        <w14:solidFill>
          <w14:srgbClr w14:val="5F5F5F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Hyperlink"/>
    <w:next w:val="Hyperlink.1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